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57" w:rsidRDefault="009E7957" w:rsidP="009E7957">
      <w:pPr>
        <w:bidi/>
        <w:jc w:val="center"/>
        <w:rPr>
          <w:rFonts w:ascii="IranNastaliq" w:hAnsi="IranNastaliq" w:cs="IranNastaliq"/>
          <w:color w:val="000000" w:themeColor="text1"/>
          <w:sz w:val="96"/>
          <w:szCs w:val="96"/>
          <w:rtl/>
          <w:lang w:bidi="fa-IR"/>
        </w:rPr>
      </w:pPr>
      <w:bookmarkStart w:id="0" w:name="_GoBack"/>
      <w:bookmarkEnd w:id="0"/>
      <w:r w:rsidRPr="00853748">
        <w:rPr>
          <w:rFonts w:ascii="IranNastaliq" w:hAnsi="IranNastaliq" w:cs="IranNastaliq"/>
          <w:color w:val="000000" w:themeColor="text1"/>
          <w:sz w:val="96"/>
          <w:szCs w:val="96"/>
          <w:rtl/>
          <w:lang w:bidi="fa-IR"/>
        </w:rPr>
        <w:t>بیمه فعالان قرآنی</w:t>
      </w:r>
    </w:p>
    <w:p w:rsidR="009E7957" w:rsidRDefault="009E7957" w:rsidP="009E7957">
      <w:pPr>
        <w:bidi/>
        <w:jc w:val="center"/>
        <w:rPr>
          <w:rFonts w:ascii="IranNastaliq" w:hAnsi="IranNastaliq" w:cs="IranNastaliq"/>
          <w:color w:val="000000" w:themeColor="text1"/>
          <w:sz w:val="96"/>
          <w:szCs w:val="96"/>
          <w:rtl/>
          <w:lang w:bidi="fa-IR"/>
        </w:rPr>
      </w:pPr>
      <w:r w:rsidRPr="005E1667">
        <w:rPr>
          <w:rFonts w:ascii="IranNastaliq" w:hAnsi="IranNastaliq" w:cs="IranNastaliq"/>
          <w:noProof/>
          <w:color w:val="000000" w:themeColor="text1"/>
          <w:sz w:val="96"/>
          <w:szCs w:val="96"/>
          <w:rtl/>
        </w:rPr>
        <w:drawing>
          <wp:inline distT="0" distB="0" distL="0" distR="0">
            <wp:extent cx="3056687" cy="2742565"/>
            <wp:effectExtent l="0" t="0" r="0" b="635"/>
            <wp:docPr id="9" name="Picture 9" descr="C:\Users\f.behjat\Desktop\هن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behjat\Desktop\هن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830" cy="274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57" w:rsidRPr="000D151A" w:rsidRDefault="009E7957" w:rsidP="009E7957">
      <w:pPr>
        <w:pStyle w:val="ListParagraph"/>
        <w:numPr>
          <w:ilvl w:val="0"/>
          <w:numId w:val="1"/>
        </w:numPr>
        <w:bidi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0D151A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  <w:lang w:bidi="fa-IR"/>
        </w:rPr>
        <w:t>تعریف</w:t>
      </w:r>
    </w:p>
    <w:p w:rsidR="009E7957" w:rsidRDefault="009E7957" w:rsidP="00D30D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>
        <w:rPr>
          <w:rFonts w:ascii="B Nazanin" w:cs="B Nazanin" w:hint="cs"/>
          <w:sz w:val="26"/>
          <w:szCs w:val="26"/>
          <w:rtl/>
        </w:rPr>
        <w:t>سیاستگذاری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وبرنامه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ریزی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برای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حمایتهای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مادی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معنوی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ازفعالان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عرصه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های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قرآنی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کشور،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یکی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ازاهداف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ووظایف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معاونت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قرآن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وعترت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وزارت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فرهنگ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ارشاد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اسلامی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بوده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است</w:t>
      </w:r>
      <w:r>
        <w:rPr>
          <w:rFonts w:ascii="B Nazanin" w:cs="B Nazanin"/>
          <w:sz w:val="26"/>
          <w:szCs w:val="26"/>
        </w:rPr>
        <w:t xml:space="preserve">. </w:t>
      </w:r>
      <w:r>
        <w:rPr>
          <w:rFonts w:ascii="B Nazanin" w:cs="B Nazanin" w:hint="cs"/>
          <w:sz w:val="26"/>
          <w:szCs w:val="26"/>
          <w:rtl/>
        </w:rPr>
        <w:t>به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همین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منظور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این معاونت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با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انجام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برنامه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ریزی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های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لازم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جهت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تحقق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این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امر،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اقدام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به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پوشش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فعالان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عرصه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قرآنی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کشور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تحت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بیمه خدمات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تأمین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اجتماعی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نموده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تا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از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این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طریق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بتواند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با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کاهش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دغدغه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های درمانی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این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قشر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مهم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راهبردی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در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جامعه</w:t>
      </w:r>
      <w:r w:rsidR="00226A11">
        <w:rPr>
          <w:rFonts w:ascii="B Nazanin" w:cs="B Nazanin" w:hint="cs"/>
          <w:sz w:val="26"/>
          <w:szCs w:val="26"/>
          <w:rtl/>
        </w:rPr>
        <w:t xml:space="preserve"> و تدارک مستمری بازنشستگی</w:t>
      </w:r>
      <w:r>
        <w:rPr>
          <w:rFonts w:ascii="B Nazanin" w:cs="B Nazanin" w:hint="cs"/>
          <w:sz w:val="26"/>
          <w:szCs w:val="26"/>
          <w:rtl/>
        </w:rPr>
        <w:t>، زمینه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ساز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ارتقاء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کمی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کیفی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خدمات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محصولات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قرآنیآن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در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جامعه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باشد</w:t>
      </w:r>
      <w:r w:rsidR="00D30D32">
        <w:rPr>
          <w:rFonts w:ascii="B Nazanin" w:cs="B Nazanin" w:hint="cs"/>
          <w:sz w:val="26"/>
          <w:szCs w:val="26"/>
          <w:rtl/>
        </w:rPr>
        <w:t xml:space="preserve">. </w:t>
      </w:r>
      <w:r>
        <w:rPr>
          <w:rFonts w:ascii="B Nazanin" w:cs="B Nazanin" w:hint="cs"/>
          <w:sz w:val="26"/>
          <w:szCs w:val="26"/>
          <w:rtl/>
        </w:rPr>
        <w:t>به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همین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منظور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تمامی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افرادیکه حائز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شرایط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لازم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مطابق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با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مفاد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مندرج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در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 w:rsidRPr="005E1667">
        <w:rPr>
          <w:rFonts w:ascii="B Nazanin" w:cs="B Nazanin" w:hint="cs"/>
          <w:b/>
          <w:bCs/>
          <w:sz w:val="26"/>
          <w:szCs w:val="26"/>
          <w:rtl/>
        </w:rPr>
        <w:t>«آیین</w:t>
      </w:r>
      <w:r w:rsidR="00D30D32"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  <w:r w:rsidRPr="005E1667">
        <w:rPr>
          <w:rFonts w:ascii="B Nazanin" w:cs="B Nazanin" w:hint="cs"/>
          <w:b/>
          <w:bCs/>
          <w:sz w:val="26"/>
          <w:szCs w:val="26"/>
          <w:rtl/>
        </w:rPr>
        <w:t>نامه بیمه فعالان قرآنی»</w:t>
      </w:r>
      <w:r w:rsidR="00D30D32"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باشند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می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توانند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تحت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پوشش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این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بیمه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قرار</w:t>
      </w:r>
      <w:r w:rsidR="00D30D32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گیرند</w:t>
      </w:r>
      <w:r>
        <w:rPr>
          <w:rFonts w:ascii="B Nazanin" w:cs="B Nazanin"/>
          <w:sz w:val="26"/>
          <w:szCs w:val="26"/>
        </w:rPr>
        <w:t>.</w:t>
      </w:r>
    </w:p>
    <w:p w:rsidR="009E7957" w:rsidRPr="00E539BC" w:rsidRDefault="009E7957" w:rsidP="009E795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sz w:val="26"/>
          <w:szCs w:val="26"/>
          <w:rtl/>
        </w:rPr>
      </w:pPr>
    </w:p>
    <w:p w:rsidR="009E7957" w:rsidRDefault="009E7957" w:rsidP="009E7957">
      <w:pPr>
        <w:bidi/>
        <w:rPr>
          <w:rFonts w:ascii="IranNastaliq" w:hAnsi="IranNastaliq" w:cs="IranNastaliq"/>
          <w:color w:val="000000" w:themeColor="text1"/>
          <w:sz w:val="28"/>
          <w:szCs w:val="28"/>
          <w:rtl/>
          <w:lang w:bidi="fa-IR"/>
        </w:rPr>
      </w:pPr>
    </w:p>
    <w:p w:rsidR="009E7957" w:rsidRDefault="009E7957" w:rsidP="009E7957">
      <w:pPr>
        <w:bidi/>
        <w:rPr>
          <w:rFonts w:ascii="IranNastaliq" w:hAnsi="IranNastaliq" w:cs="IranNastaliq"/>
          <w:color w:val="000000" w:themeColor="text1"/>
          <w:sz w:val="28"/>
          <w:szCs w:val="28"/>
          <w:rtl/>
          <w:lang w:bidi="fa-IR"/>
        </w:rPr>
      </w:pPr>
    </w:p>
    <w:p w:rsidR="009E7957" w:rsidRDefault="009E7957" w:rsidP="009E7957">
      <w:pPr>
        <w:bidi/>
        <w:rPr>
          <w:rFonts w:ascii="IranNastaliq" w:hAnsi="IranNastaliq" w:cs="IranNastaliq"/>
          <w:color w:val="000000" w:themeColor="text1"/>
          <w:sz w:val="28"/>
          <w:szCs w:val="28"/>
          <w:rtl/>
          <w:lang w:bidi="fa-IR"/>
        </w:rPr>
      </w:pPr>
    </w:p>
    <w:p w:rsidR="006B0DB4" w:rsidRDefault="006B0DB4">
      <w:pPr>
        <w:spacing w:after="200" w:line="276" w:lineRule="auto"/>
        <w:rPr>
          <w:rFonts w:ascii="IranNastaliq" w:eastAsia="Times New Roman" w:hAnsi="IranNastaliq" w:cs="B Nazanin"/>
          <w:color w:val="000000" w:themeColor="text1"/>
          <w:sz w:val="32"/>
          <w:szCs w:val="32"/>
          <w:rtl/>
          <w:lang w:bidi="fa-IR"/>
        </w:rPr>
      </w:pPr>
      <w:r>
        <w:rPr>
          <w:rFonts w:ascii="IranNastaliq" w:hAnsi="IranNastaliq" w:cs="B Nazanin"/>
          <w:color w:val="000000" w:themeColor="text1"/>
          <w:sz w:val="32"/>
          <w:szCs w:val="32"/>
          <w:rtl/>
          <w:lang w:bidi="fa-IR"/>
        </w:rPr>
        <w:br w:type="page"/>
      </w:r>
    </w:p>
    <w:p w:rsidR="009E7957" w:rsidRPr="006364BF" w:rsidRDefault="009E7957" w:rsidP="009E7957">
      <w:pPr>
        <w:pStyle w:val="ListParagraph"/>
        <w:numPr>
          <w:ilvl w:val="0"/>
          <w:numId w:val="1"/>
        </w:numPr>
        <w:bidi/>
        <w:jc w:val="center"/>
        <w:rPr>
          <w:rFonts w:ascii="IranNastaliq" w:hAnsi="IranNastaliq" w:cs="B Nazanin"/>
          <w:color w:val="000000" w:themeColor="text1"/>
          <w:sz w:val="32"/>
          <w:szCs w:val="32"/>
          <w:rtl/>
          <w:lang w:bidi="fa-IR"/>
        </w:rPr>
      </w:pPr>
      <w:r w:rsidRPr="006364BF">
        <w:rPr>
          <w:rFonts w:ascii="IranNastaliq" w:hAnsi="IranNastaliq" w:cs="B Nazanin" w:hint="cs"/>
          <w:color w:val="000000" w:themeColor="text1"/>
          <w:sz w:val="32"/>
          <w:szCs w:val="32"/>
          <w:rtl/>
          <w:lang w:bidi="fa-IR"/>
        </w:rPr>
        <w:lastRenderedPageBreak/>
        <w:t>فرایند ثبت نام متقاضیان بیمه فعالان قرآنی</w:t>
      </w:r>
    </w:p>
    <w:p w:rsidR="009E7957" w:rsidRDefault="009E7957" w:rsidP="009E7957">
      <w:pPr>
        <w:bidi/>
        <w:rPr>
          <w:rFonts w:cs="B Nazanin"/>
          <w:color w:val="000000" w:themeColor="text1"/>
          <w:rtl/>
          <w:lang w:bidi="fa-IR"/>
        </w:rPr>
      </w:pPr>
    </w:p>
    <w:p w:rsidR="009E7957" w:rsidRPr="006B0DB4" w:rsidRDefault="009E7957" w:rsidP="009E7957">
      <w:pPr>
        <w:pStyle w:val="ListParagraph"/>
        <w:numPr>
          <w:ilvl w:val="0"/>
          <w:numId w:val="2"/>
        </w:numPr>
        <w:bidi/>
        <w:jc w:val="mediumKashida"/>
        <w:rPr>
          <w:rFonts w:ascii="B Nazanin" w:eastAsiaTheme="minorHAnsi" w:hAnsiTheme="minorHAnsi" w:cs="B Nazanin"/>
          <w:sz w:val="28"/>
          <w:szCs w:val="28"/>
        </w:rPr>
      </w:pPr>
      <w:r w:rsidRPr="006B0DB4">
        <w:rPr>
          <w:rFonts w:ascii="B Nazanin" w:eastAsiaTheme="minorHAnsi" w:hAnsiTheme="minorHAnsi" w:cs="B Nazanin" w:hint="cs"/>
          <w:sz w:val="28"/>
          <w:szCs w:val="28"/>
          <w:rtl/>
        </w:rPr>
        <w:t xml:space="preserve">مطالعه دقیق آئین نامه بیمه فعالان قرآنی پس از مراجعه به سایت معاونت قرآن و عترت </w:t>
      </w:r>
      <w:r w:rsidRPr="006B0DB4">
        <w:rPr>
          <w:rFonts w:ascii="B Nazanin" w:eastAsiaTheme="minorHAnsi" w:hAnsiTheme="minorHAnsi" w:cs="B Nazanin"/>
          <w:sz w:val="28"/>
          <w:szCs w:val="28"/>
        </w:rPr>
        <w:t>qia.farhang.gov.ir</w:t>
      </w:r>
    </w:p>
    <w:p w:rsidR="009E7957" w:rsidRPr="006B0DB4" w:rsidRDefault="009E7957" w:rsidP="009E7957">
      <w:pPr>
        <w:pStyle w:val="ListParagraph"/>
        <w:numPr>
          <w:ilvl w:val="0"/>
          <w:numId w:val="2"/>
        </w:numPr>
        <w:bidi/>
        <w:jc w:val="mediumKashida"/>
        <w:rPr>
          <w:rFonts w:ascii="B Nazanin" w:eastAsiaTheme="minorHAnsi" w:hAnsiTheme="minorHAnsi" w:cs="B Nazanin"/>
          <w:sz w:val="28"/>
          <w:szCs w:val="28"/>
          <w:rtl/>
        </w:rPr>
      </w:pPr>
      <w:r w:rsidRPr="006B0DB4">
        <w:rPr>
          <w:rFonts w:ascii="B Nazanin" w:eastAsiaTheme="minorHAnsi" w:hAnsiTheme="minorHAnsi" w:cs="B Nazanin" w:hint="cs"/>
          <w:sz w:val="28"/>
          <w:szCs w:val="28"/>
          <w:rtl/>
        </w:rPr>
        <w:t>ارائه مستندات ( دوره های آموزشی و معرفی نامه معتبر ممهور به مهر و امضای مدیر موسسه) به دفاتر قرآن و عترت اداره کل استان</w:t>
      </w:r>
    </w:p>
    <w:p w:rsidR="009E7957" w:rsidRPr="006B0DB4" w:rsidRDefault="009E7957" w:rsidP="009E7957">
      <w:pPr>
        <w:pStyle w:val="ListParagraph"/>
        <w:numPr>
          <w:ilvl w:val="0"/>
          <w:numId w:val="2"/>
        </w:numPr>
        <w:bidi/>
        <w:jc w:val="mediumKashida"/>
        <w:rPr>
          <w:rFonts w:ascii="B Nazanin" w:eastAsiaTheme="minorHAnsi" w:hAnsiTheme="minorHAnsi" w:cs="B Nazanin"/>
          <w:sz w:val="28"/>
          <w:szCs w:val="28"/>
        </w:rPr>
      </w:pPr>
      <w:r w:rsidRPr="006B0DB4">
        <w:rPr>
          <w:rFonts w:ascii="B Nazanin" w:eastAsiaTheme="minorHAnsi" w:hAnsiTheme="minorHAnsi" w:cs="B Nazanin" w:hint="cs"/>
          <w:sz w:val="28"/>
          <w:szCs w:val="28"/>
          <w:rtl/>
        </w:rPr>
        <w:t>دریافت معرفی نامه از اداره کل استان( به امضای مدیرکل و ممهور شده) جهت بارگذاری در سامانه صندوق اعتباری هنر</w:t>
      </w:r>
      <w:r w:rsidRPr="006B0DB4">
        <w:rPr>
          <w:rFonts w:ascii="B Nazanin" w:eastAsiaTheme="minorHAnsi" w:hAnsiTheme="minorHAnsi" w:cs="B Nazanin"/>
          <w:sz w:val="28"/>
          <w:szCs w:val="28"/>
        </w:rPr>
        <w:t>honarcredit.ir/</w:t>
      </w:r>
    </w:p>
    <w:p w:rsidR="009E7957" w:rsidRPr="006B0DB4" w:rsidRDefault="009E7957" w:rsidP="009E7957">
      <w:pPr>
        <w:pStyle w:val="ListParagraph"/>
        <w:numPr>
          <w:ilvl w:val="0"/>
          <w:numId w:val="2"/>
        </w:numPr>
        <w:bidi/>
        <w:jc w:val="mediumKashida"/>
        <w:rPr>
          <w:rFonts w:ascii="B Nazanin" w:eastAsiaTheme="minorHAnsi" w:hAnsiTheme="minorHAnsi" w:cs="B Nazanin"/>
          <w:sz w:val="28"/>
          <w:szCs w:val="28"/>
        </w:rPr>
      </w:pPr>
      <w:r w:rsidRPr="006B0DB4">
        <w:rPr>
          <w:rFonts w:ascii="B Nazanin" w:eastAsiaTheme="minorHAnsi" w:hAnsiTheme="minorHAnsi" w:cs="B Nazanin" w:hint="cs"/>
          <w:sz w:val="28"/>
          <w:szCs w:val="28"/>
          <w:rtl/>
        </w:rPr>
        <w:t>اسکن اصل تمامی مدارک شامل( معرفی نامه، شناسنامه و کارت ملی) جهت بارگذاری در سامانه صندوق اعتباری هنر</w:t>
      </w:r>
    </w:p>
    <w:p w:rsidR="009E7957" w:rsidRPr="006B0DB4" w:rsidRDefault="009E7957" w:rsidP="009E7957">
      <w:pPr>
        <w:pStyle w:val="ListParagraph"/>
        <w:numPr>
          <w:ilvl w:val="0"/>
          <w:numId w:val="2"/>
        </w:numPr>
        <w:bidi/>
        <w:jc w:val="mediumKashida"/>
        <w:rPr>
          <w:rFonts w:ascii="B Nazanin" w:eastAsiaTheme="minorHAnsi" w:hAnsiTheme="minorHAnsi" w:cs="B Nazanin"/>
          <w:sz w:val="28"/>
          <w:szCs w:val="28"/>
        </w:rPr>
      </w:pPr>
      <w:r w:rsidRPr="006B0DB4">
        <w:rPr>
          <w:rFonts w:ascii="B Nazanin" w:eastAsiaTheme="minorHAnsi" w:hAnsiTheme="minorHAnsi" w:cs="B Nazanin" w:hint="cs"/>
          <w:sz w:val="28"/>
          <w:szCs w:val="28"/>
          <w:rtl/>
        </w:rPr>
        <w:t>به همراه داشتن شماره حساب ، شماره شبا، شماره کارت بانکی و کد پستی جهت بارگذاری در سامانه صندوق اعتباری هنر الزامیست</w:t>
      </w:r>
    </w:p>
    <w:p w:rsidR="009E7957" w:rsidRPr="006B0DB4" w:rsidRDefault="009E7957" w:rsidP="009E7957">
      <w:pPr>
        <w:pStyle w:val="ListParagraph"/>
        <w:numPr>
          <w:ilvl w:val="0"/>
          <w:numId w:val="2"/>
        </w:numPr>
        <w:bidi/>
        <w:jc w:val="mediumKashida"/>
        <w:rPr>
          <w:rFonts w:ascii="B Nazanin" w:eastAsiaTheme="minorHAnsi" w:hAnsiTheme="minorHAnsi" w:cs="B Nazanin"/>
          <w:sz w:val="28"/>
          <w:szCs w:val="28"/>
        </w:rPr>
      </w:pPr>
      <w:r w:rsidRPr="006B0DB4">
        <w:rPr>
          <w:rFonts w:ascii="B Nazanin" w:eastAsiaTheme="minorHAnsi" w:hAnsiTheme="minorHAnsi" w:cs="B Nazanin" w:hint="cs"/>
          <w:sz w:val="28"/>
          <w:szCs w:val="28"/>
          <w:rtl/>
        </w:rPr>
        <w:t>مراجعه به دفتر قرآن و عترت ادارت کل جهت تایید مدارک بارگذاری شده ( شماره 4) با در دست داشتن نام کاربری و رمز عبور سامانه صندوق اعتباری هنر</w:t>
      </w:r>
    </w:p>
    <w:p w:rsidR="009E7957" w:rsidRPr="006B0DB4" w:rsidRDefault="009E7957" w:rsidP="009E7957">
      <w:pPr>
        <w:pStyle w:val="ListParagraph"/>
        <w:numPr>
          <w:ilvl w:val="0"/>
          <w:numId w:val="2"/>
        </w:numPr>
        <w:bidi/>
        <w:jc w:val="mediumKashida"/>
        <w:rPr>
          <w:rFonts w:ascii="B Nazanin" w:eastAsiaTheme="minorHAnsi" w:hAnsiTheme="minorHAnsi" w:cs="B Nazanin"/>
          <w:sz w:val="28"/>
          <w:szCs w:val="28"/>
        </w:rPr>
      </w:pPr>
      <w:r w:rsidRPr="006B0DB4">
        <w:rPr>
          <w:rFonts w:ascii="B Nazanin" w:eastAsiaTheme="minorHAnsi" w:hAnsiTheme="minorHAnsi" w:cs="B Nazanin" w:hint="cs"/>
          <w:sz w:val="28"/>
          <w:szCs w:val="28"/>
          <w:rtl/>
        </w:rPr>
        <w:t>پرداخت حق عضویت صندوق اعتباری هنر از طریق کارت های شتاب بانکی بعد از تایید مدارک بارگذاری شده</w:t>
      </w:r>
    </w:p>
    <w:p w:rsidR="009E7957" w:rsidRPr="006B0DB4" w:rsidRDefault="009E7957" w:rsidP="009E7957">
      <w:pPr>
        <w:pStyle w:val="ListParagraph"/>
        <w:numPr>
          <w:ilvl w:val="0"/>
          <w:numId w:val="2"/>
        </w:numPr>
        <w:bidi/>
        <w:jc w:val="mediumKashida"/>
        <w:rPr>
          <w:rFonts w:ascii="B Nazanin" w:eastAsiaTheme="minorHAnsi" w:hAnsiTheme="minorHAnsi" w:cs="B Nazanin"/>
          <w:sz w:val="28"/>
          <w:szCs w:val="28"/>
        </w:rPr>
      </w:pPr>
      <w:r w:rsidRPr="006B0DB4">
        <w:rPr>
          <w:rFonts w:ascii="B Nazanin" w:eastAsiaTheme="minorHAnsi" w:hAnsiTheme="minorHAnsi" w:cs="B Nazanin" w:hint="cs"/>
          <w:sz w:val="28"/>
          <w:szCs w:val="28"/>
          <w:rtl/>
        </w:rPr>
        <w:t>مراجعه به دفتر قرآن و عترت ادارات کل استان و ارائه شماره عضویت صندوق اعتباری هنر به کارشناس مربوطه</w:t>
      </w:r>
    </w:p>
    <w:p w:rsidR="009E7957" w:rsidRDefault="009E7957" w:rsidP="009E7957">
      <w:pPr>
        <w:bidi/>
        <w:rPr>
          <w:rFonts w:ascii="IranNastaliq" w:hAnsi="IranNastaliq" w:cs="IranNastaliq"/>
          <w:color w:val="000000" w:themeColor="text1"/>
          <w:sz w:val="28"/>
          <w:szCs w:val="28"/>
          <w:rtl/>
          <w:lang w:bidi="fa-IR"/>
        </w:rPr>
      </w:pPr>
    </w:p>
    <w:p w:rsidR="009E7957" w:rsidRDefault="009E7957" w:rsidP="009E7957">
      <w:pPr>
        <w:bidi/>
        <w:rPr>
          <w:rFonts w:ascii="IranNastaliq" w:hAnsi="IranNastaliq" w:cs="IranNastaliq"/>
          <w:color w:val="000000" w:themeColor="text1"/>
          <w:sz w:val="28"/>
          <w:szCs w:val="28"/>
          <w:rtl/>
          <w:lang w:bidi="fa-IR"/>
        </w:rPr>
      </w:pPr>
    </w:p>
    <w:p w:rsidR="009E7957" w:rsidRDefault="009E7957" w:rsidP="009E7957">
      <w:pPr>
        <w:bidi/>
        <w:rPr>
          <w:rFonts w:ascii="IranNastaliq" w:hAnsi="IranNastaliq" w:cs="IranNastaliq"/>
          <w:color w:val="000000" w:themeColor="text1"/>
          <w:sz w:val="28"/>
          <w:szCs w:val="28"/>
          <w:rtl/>
          <w:lang w:bidi="fa-IR"/>
        </w:rPr>
      </w:pPr>
    </w:p>
    <w:p w:rsidR="009E7957" w:rsidRDefault="009E7957" w:rsidP="009E7957">
      <w:pPr>
        <w:bidi/>
        <w:rPr>
          <w:rFonts w:ascii="IranNastaliq" w:hAnsi="IranNastaliq" w:cs="IranNastaliq"/>
          <w:color w:val="000000" w:themeColor="text1"/>
          <w:sz w:val="28"/>
          <w:szCs w:val="28"/>
          <w:rtl/>
          <w:lang w:bidi="fa-IR"/>
        </w:rPr>
      </w:pPr>
    </w:p>
    <w:p w:rsidR="009E7957" w:rsidRDefault="009E7957" w:rsidP="009E7957">
      <w:pPr>
        <w:bidi/>
        <w:rPr>
          <w:rFonts w:ascii="IranNastaliq" w:hAnsi="IranNastaliq" w:cs="IranNastaliq"/>
          <w:color w:val="000000" w:themeColor="text1"/>
          <w:sz w:val="28"/>
          <w:szCs w:val="28"/>
          <w:rtl/>
          <w:lang w:bidi="fa-IR"/>
        </w:rPr>
      </w:pPr>
    </w:p>
    <w:p w:rsidR="009E7957" w:rsidRDefault="009E7957" w:rsidP="009E7957">
      <w:pPr>
        <w:bidi/>
        <w:rPr>
          <w:rFonts w:ascii="IranNastaliq" w:hAnsi="IranNastaliq" w:cs="IranNastaliq"/>
          <w:color w:val="000000" w:themeColor="text1"/>
          <w:sz w:val="28"/>
          <w:szCs w:val="28"/>
          <w:rtl/>
          <w:lang w:bidi="fa-IR"/>
        </w:rPr>
      </w:pPr>
    </w:p>
    <w:p w:rsidR="005C0A89" w:rsidRDefault="005C0A89">
      <w:pPr>
        <w:spacing w:after="200" w:line="276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9E7957" w:rsidRPr="009620B0" w:rsidRDefault="009E7957" w:rsidP="00966268">
      <w:pPr>
        <w:bidi/>
        <w:spacing w:after="0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9620B0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تعدا</w:t>
      </w:r>
      <w:r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>د</w:t>
      </w:r>
      <w:r w:rsidR="0089135F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89135F" w:rsidRPr="009620B0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>فعالان قر</w:t>
      </w:r>
      <w:r w:rsidR="0089135F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>آ</w:t>
      </w:r>
      <w:r w:rsidR="0089135F" w:rsidRPr="009620B0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نی </w:t>
      </w:r>
      <w:r w:rsidR="0089135F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بیمه شده - </w:t>
      </w:r>
      <w:r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سال </w:t>
      </w:r>
      <w:r w:rsidR="00966268">
        <w:rPr>
          <w:rFonts w:ascii="IranNastaliq" w:hAnsi="IranNastaliq" w:cs="B Nazanin"/>
          <w:b/>
          <w:bCs/>
          <w:color w:val="000000" w:themeColor="text1"/>
          <w:sz w:val="28"/>
          <w:szCs w:val="28"/>
          <w:lang w:bidi="fa-IR"/>
        </w:rPr>
        <w:t>96</w:t>
      </w:r>
    </w:p>
    <w:tbl>
      <w:tblPr>
        <w:tblStyle w:val="GridTable6Colorful1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2383"/>
        <w:gridCol w:w="2383"/>
      </w:tblGrid>
      <w:tr w:rsidR="006B0DB4" w:rsidTr="00C46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6B0DB4" w:rsidRPr="00584D17" w:rsidRDefault="006B0DB4" w:rsidP="006B0DB4">
            <w:pPr>
              <w:bidi/>
              <w:spacing w:after="0"/>
              <w:jc w:val="center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584D17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استان</w:t>
            </w:r>
          </w:p>
        </w:tc>
        <w:tc>
          <w:tcPr>
            <w:tcW w:w="2383" w:type="dxa"/>
            <w:vAlign w:val="center"/>
          </w:tcPr>
          <w:p w:rsidR="006B0DB4" w:rsidRPr="00584D17" w:rsidRDefault="006B0DB4" w:rsidP="006B0DB4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584D17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تعداد بیمه شدگان</w:t>
            </w:r>
          </w:p>
        </w:tc>
        <w:tc>
          <w:tcPr>
            <w:tcW w:w="2383" w:type="dxa"/>
            <w:vAlign w:val="center"/>
          </w:tcPr>
          <w:p w:rsidR="006B0DB4" w:rsidRDefault="006B0DB4" w:rsidP="00C46A15">
            <w:pPr>
              <w:bidi/>
              <w:spacing w:after="0"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36"/>
                <w:szCs w:val="36"/>
                <w:vertAlign w:val="superscript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یارانه دولت</w:t>
            </w:r>
            <w:r w:rsidRPr="006B0DB4">
              <w:rPr>
                <w:rFonts w:ascii="IranNastaliq" w:hAnsi="IranNastaliq" w:cs="B Nazanin" w:hint="cs"/>
                <w:sz w:val="36"/>
                <w:szCs w:val="36"/>
                <w:vertAlign w:val="superscript"/>
                <w:rtl/>
                <w:lang w:bidi="fa-IR"/>
              </w:rPr>
              <w:t>*</w:t>
            </w:r>
          </w:p>
          <w:p w:rsidR="00C46A15" w:rsidRPr="00584D17" w:rsidRDefault="00C46A15" w:rsidP="00C46A15">
            <w:pPr>
              <w:bidi/>
              <w:spacing w:after="0"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6"/>
                <w:szCs w:val="36"/>
                <w:vertAlign w:val="superscript"/>
                <w:rtl/>
                <w:lang w:bidi="fa-IR"/>
              </w:rPr>
              <w:t>(میلیون ريال)</w:t>
            </w:r>
          </w:p>
        </w:tc>
      </w:tr>
      <w:tr w:rsidR="00C46A15" w:rsidTr="008D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آذربايجان شرقي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223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3314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آذربايجان غربي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1738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اردبيل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267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3967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اصفهان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408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6062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البرز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153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2273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ايلام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1070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بوشهر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877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تهران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459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6820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چهارمحال و بختياري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1040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خراسان جنوبي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1278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خراسان رضوي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319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4740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خراسان شمالي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1530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خوزستان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113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1679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زنجان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141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2095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سمنان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1025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سيستان و بلوچستان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1085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فارس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143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2125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قزوين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2452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قم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684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كردستان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1070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كرمان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452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6716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كرمانشاه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191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2838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كهگيلويه و بويراحمد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684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lastRenderedPageBreak/>
              <w:t>گلستان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2883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گيلان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3076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لرستان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185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2749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مازندران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542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8053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مركزي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342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5082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هرمزگان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126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1872</w:t>
            </w:r>
          </w:p>
        </w:tc>
      </w:tr>
      <w:tr w:rsidR="00C46A15" w:rsidTr="00C0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همدان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2229</w:t>
            </w:r>
          </w:p>
        </w:tc>
      </w:tr>
      <w:tr w:rsidR="00C46A15" w:rsidTr="00C0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C46A15" w:rsidRPr="00C46A15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C46A15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يزد</w:t>
            </w:r>
          </w:p>
        </w:tc>
        <w:tc>
          <w:tcPr>
            <w:tcW w:w="2383" w:type="dxa"/>
            <w:vAlign w:val="bottom"/>
          </w:tcPr>
          <w:p w:rsidR="00C46A15" w:rsidRPr="00C46A15" w:rsidRDefault="00C46A15" w:rsidP="00C46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46A15"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2383" w:type="dxa"/>
            <w:vAlign w:val="center"/>
          </w:tcPr>
          <w:p w:rsidR="00C46A15" w:rsidRDefault="00C46A15" w:rsidP="00C46A15">
            <w:p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46A1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2630</w:t>
            </w:r>
          </w:p>
        </w:tc>
      </w:tr>
      <w:tr w:rsidR="00C46A15" w:rsidTr="00C46A1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46A15" w:rsidRPr="00584D17" w:rsidRDefault="00C46A15" w:rsidP="00C46A15">
            <w:pPr>
              <w:bidi/>
              <w:spacing w:after="0"/>
              <w:jc w:val="center"/>
              <w:rPr>
                <w:rFonts w:ascii="IranNastaliq" w:hAnsi="IranNastaliq" w:cs="B Nazanin"/>
                <w:sz w:val="36"/>
                <w:szCs w:val="36"/>
                <w:rtl/>
                <w:lang w:bidi="fa-IR"/>
              </w:rPr>
            </w:pPr>
            <w:r w:rsidRPr="00584D17">
              <w:rPr>
                <w:rFonts w:ascii="IranNastaliq" w:hAnsi="IranNastaliq" w:cs="B Nazanin" w:hint="cs"/>
                <w:sz w:val="36"/>
                <w:szCs w:val="36"/>
                <w:rtl/>
                <w:lang w:bidi="fa-IR"/>
              </w:rPr>
              <w:t>جمع</w:t>
            </w:r>
          </w:p>
        </w:tc>
        <w:tc>
          <w:tcPr>
            <w:tcW w:w="2383" w:type="dxa"/>
          </w:tcPr>
          <w:p w:rsidR="00C46A15" w:rsidRPr="00C46A15" w:rsidRDefault="00C46A15" w:rsidP="00C46A1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C46A15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  <w:lang w:bidi="fa-IR"/>
              </w:rPr>
              <w:t>5770</w:t>
            </w:r>
          </w:p>
        </w:tc>
        <w:tc>
          <w:tcPr>
            <w:tcW w:w="2383" w:type="dxa"/>
          </w:tcPr>
          <w:p w:rsidR="00C46A15" w:rsidRPr="00C46A15" w:rsidRDefault="00C46A15" w:rsidP="00C46A1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C46A15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  <w:lang w:bidi="fa-IR"/>
              </w:rPr>
              <w:t>85735</w:t>
            </w:r>
          </w:p>
        </w:tc>
      </w:tr>
    </w:tbl>
    <w:p w:rsidR="00520555" w:rsidRPr="00C46A15" w:rsidRDefault="00C46A15" w:rsidP="009B753C">
      <w:pPr>
        <w:bidi/>
        <w:rPr>
          <w:rFonts w:cs="B Nazanin"/>
          <w:sz w:val="24"/>
          <w:szCs w:val="24"/>
        </w:rPr>
      </w:pPr>
      <w:r w:rsidRPr="00C46A15">
        <w:rPr>
          <w:rFonts w:cs="B Nazanin" w:hint="cs"/>
          <w:sz w:val="24"/>
          <w:szCs w:val="24"/>
          <w:rtl/>
        </w:rPr>
        <w:t>* وزارت فرهنگ و ارشاد اسلامی 10% از 18% حق بیمه را بابت هر نفر بیمه شده در سال 1397 به سازمان تأمین اعتماعی پرداخت می</w:t>
      </w:r>
      <w:r>
        <w:rPr>
          <w:rFonts w:cs="B Nazanin" w:hint="cs"/>
          <w:sz w:val="24"/>
          <w:szCs w:val="24"/>
          <w:rtl/>
        </w:rPr>
        <w:t>‌</w:t>
      </w:r>
      <w:r w:rsidRPr="00C46A15">
        <w:rPr>
          <w:rFonts w:cs="B Nazanin" w:hint="cs"/>
          <w:sz w:val="24"/>
          <w:szCs w:val="24"/>
          <w:rtl/>
        </w:rPr>
        <w:t xml:space="preserve">کند. این مبلغ در سال جاری طبق حداقل پایه حقوق مصوب شورای عالی کار معادل </w:t>
      </w:r>
      <w:r w:rsidRPr="00C46A15">
        <w:rPr>
          <w:rFonts w:cs="B Nazanin"/>
          <w:sz w:val="24"/>
          <w:szCs w:val="24"/>
          <w:rtl/>
        </w:rPr>
        <w:t>14858773</w:t>
      </w:r>
      <w:r w:rsidRPr="00C46A15">
        <w:rPr>
          <w:rFonts w:cs="B Nazanin" w:hint="cs"/>
          <w:sz w:val="24"/>
          <w:szCs w:val="24"/>
          <w:rtl/>
        </w:rPr>
        <w:t>ریال است.</w:t>
      </w:r>
    </w:p>
    <w:sectPr w:rsidR="00520555" w:rsidRPr="00C46A15" w:rsidSect="00520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647"/>
    <w:multiLevelType w:val="hybridMultilevel"/>
    <w:tmpl w:val="63FA01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E38EC"/>
    <w:multiLevelType w:val="hybridMultilevel"/>
    <w:tmpl w:val="0618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57"/>
    <w:rsid w:val="00226A11"/>
    <w:rsid w:val="00520555"/>
    <w:rsid w:val="0055648E"/>
    <w:rsid w:val="005C0A89"/>
    <w:rsid w:val="006B0DB4"/>
    <w:rsid w:val="007E0014"/>
    <w:rsid w:val="0089135F"/>
    <w:rsid w:val="00966268"/>
    <w:rsid w:val="009B753C"/>
    <w:rsid w:val="009E7957"/>
    <w:rsid w:val="00AE4C88"/>
    <w:rsid w:val="00C46A15"/>
    <w:rsid w:val="00C835F9"/>
    <w:rsid w:val="00D30D32"/>
    <w:rsid w:val="00E528BA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C5D48-00AD-46D7-A0A1-AF7FEE6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95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1">
    <w:name w:val="Grid Table 6 Colorful1"/>
    <w:basedOn w:val="TableNormal"/>
    <w:uiPriority w:val="51"/>
    <w:rsid w:val="009E79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aliases w:val="لیست"/>
    <w:basedOn w:val="Normal"/>
    <w:link w:val="ListParagraphChar"/>
    <w:uiPriority w:val="34"/>
    <w:qFormat/>
    <w:rsid w:val="009E79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لیست Char"/>
    <w:link w:val="ListParagraph"/>
    <w:uiPriority w:val="34"/>
    <w:rsid w:val="009E795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m.salahshour</dc:creator>
  <cp:lastModifiedBy>asus</cp:lastModifiedBy>
  <cp:revision>2</cp:revision>
  <dcterms:created xsi:type="dcterms:W3CDTF">2019-01-23T11:21:00Z</dcterms:created>
  <dcterms:modified xsi:type="dcterms:W3CDTF">2019-01-23T11:21:00Z</dcterms:modified>
</cp:coreProperties>
</file>